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BC" w:rsidRDefault="00DF43BC">
      <w:pPr>
        <w:pStyle w:val="2"/>
      </w:pPr>
      <w:bookmarkStart w:id="0" w:name="_GoBack"/>
      <w:bookmarkEnd w:id="0"/>
      <w:r>
        <w:t>機關檔案編目規範</w:t>
      </w:r>
    </w:p>
    <w:tbl>
      <w:tblPr>
        <w:tblW w:w="2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</w:tblGrid>
      <w:tr w:rsidR="00DF43BC">
        <w:trPr>
          <w:tblCellSpacing w:w="7" w:type="dxa"/>
          <w:jc w:val="right"/>
        </w:trPr>
        <w:tc>
          <w:tcPr>
            <w:tcW w:w="0" w:type="auto"/>
            <w:vAlign w:val="center"/>
          </w:tcPr>
          <w:p w:rsidR="00DF43BC" w:rsidRDefault="00DF43BC">
            <w:pPr>
              <w:pStyle w:val="Web"/>
            </w:pPr>
            <w:r>
              <w:rPr>
                <w:color w:val="FF0000"/>
              </w:rPr>
              <w:t>中華民國90年12月12日檔案管理局檔秘字第0002066號函訂頒，自中華民國91年1月1日生效</w:t>
            </w:r>
            <w:r>
              <w:rPr>
                <w:color w:val="FF0000"/>
              </w:rPr>
              <w:br/>
              <w:t>中華民國93年10月21日檔案管理局檔徵字第09300177441號函修正</w:t>
            </w:r>
          </w:p>
        </w:tc>
      </w:tr>
    </w:tbl>
    <w:p w:rsidR="00DF43BC" w:rsidRDefault="00DF43BC">
      <w:pPr>
        <w:pStyle w:val="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7"/>
        <w:gridCol w:w="9168"/>
      </w:tblGrid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一、</w:t>
            </w:r>
          </w:p>
        </w:tc>
        <w:tc>
          <w:tcPr>
            <w:tcW w:w="4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為辦理檔案法第八條第一項有關檔案編目事項，特訂定本規範。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二、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本規範用詞定義如下：</w:t>
            </w:r>
            <w:r>
              <w:br/>
            </w:r>
            <w:r>
              <w:t>（一）案件：指收文或發文連同其簽辦或創簽之文件。</w:t>
            </w:r>
            <w:r>
              <w:br/>
            </w:r>
            <w:r>
              <w:t>（二）案卷：指具體表現案件間之關聯性並反映業務活動情形之案件組合。</w:t>
            </w:r>
            <w:r>
              <w:br/>
            </w:r>
            <w:r>
              <w:t>（三）案由：指扼要表達案件主旨或事由之文字。</w:t>
            </w:r>
            <w:r>
              <w:t xml:space="preserve"> </w:t>
            </w:r>
            <w:r>
              <w:br/>
            </w:r>
            <w:r>
              <w:t>（四）案名：指扼要表達案卷內容之名稱。</w:t>
            </w:r>
            <w:r>
              <w:t xml:space="preserve"> </w:t>
            </w:r>
            <w:r>
              <w:br/>
            </w:r>
            <w:r>
              <w:t>（五）著錄：指就檔案之內容及其形式加以分析、判斷並據以擇要記錄其事項及特徵之過程。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三、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檔案著錄包括案件及案卷二層級。但檔案回溯編目得以案卷層級著錄。</w:t>
            </w:r>
            <w:r>
              <w:br/>
            </w:r>
            <w:r>
              <w:t>前項案件層級之著錄，於編案時辦理；案卷層級之著錄，於所涉案情半年內未繼續辦理時為之。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四、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各著錄項目應依案件或案卷之著錄來源著錄，充分描述其內容及形式特徵；著錄來源之資料不全時，得參考相關資料補充之。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五、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案件之著錄來源，包括發（來）文機關全銜、文別、受文者、機密等級及保密期限或解密條件、保存年限、發（來）文日期、發（來）文字號、本文及附件等來源。</w:t>
            </w:r>
            <w:r>
              <w:br/>
            </w:r>
            <w:r>
              <w:t>案卷之著錄來源，包括案件內容、案卷目次表、案卷封面及卷脊等來源。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六、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案件著錄項目如下：</w:t>
            </w:r>
            <w:r>
              <w:br/>
            </w:r>
            <w:r>
              <w:t>（一）案由項：包括案由、並列案由及其他案由。</w:t>
            </w:r>
            <w:r>
              <w:t xml:space="preserve"> </w:t>
            </w:r>
            <w:r>
              <w:br/>
            </w:r>
            <w:r>
              <w:t>（二）發（來）文者項：包括主要發文者、次要發文者、主要來文者、次要來文者及受文者。</w:t>
            </w:r>
            <w:r>
              <w:t xml:space="preserve"> </w:t>
            </w:r>
            <w:r>
              <w:br/>
            </w:r>
            <w:r>
              <w:t>（三）文件形式項：包括文別及本別。</w:t>
            </w:r>
            <w:r>
              <w:t xml:space="preserve"> </w:t>
            </w:r>
            <w:r>
              <w:br/>
            </w:r>
            <w:r>
              <w:t>（四）密等及保存年限項：包括機密等級、保密期限、解密條件及保存年限。</w:t>
            </w:r>
            <w:r>
              <w:br/>
            </w:r>
            <w:r>
              <w:t>（五）相關編號項：包括收文字號、發文字號、來文字號、檔號、電子或微縮編號及其他編號。</w:t>
            </w:r>
            <w:r>
              <w:br/>
            </w:r>
            <w:r>
              <w:t>（六）日期項：文件產生日期。</w:t>
            </w:r>
            <w:r>
              <w:br/>
            </w:r>
            <w:r>
              <w:t>（七）媒體型式項：包括紙本、底片、微縮片、幻燈片、照片、硬式磁碟、磁片、磁帶、光碟、錄音帶或錄影帶等檔案之媒體型式。</w:t>
            </w:r>
            <w:r>
              <w:t xml:space="preserve"> </w:t>
            </w:r>
            <w:r>
              <w:br/>
            </w:r>
            <w:r>
              <w:t>（八）檔案外觀項：包括檔案之數量、單位、附件及外觀細節。</w:t>
            </w:r>
            <w:r>
              <w:br/>
            </w:r>
            <w:r>
              <w:t>（九）關聯項：包括可參照之有關案件及所屬案名。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七、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案卷著錄項目如下：</w:t>
            </w:r>
            <w:r>
              <w:br/>
            </w:r>
            <w:r>
              <w:t>（一）案名項：包括案名、並列案名及其他案名。</w:t>
            </w:r>
            <w:r>
              <w:br/>
            </w:r>
            <w:r>
              <w:t>（二）檔案產生者項：包括檔案產生及管有機關（構）、團體或個人。</w:t>
            </w:r>
            <w:r>
              <w:br/>
            </w:r>
            <w:r>
              <w:t>（三）密等及保存年限項：包括機密等級及保存年限。</w:t>
            </w:r>
            <w:r>
              <w:br/>
            </w:r>
            <w:r>
              <w:t>（四）檔案應用項：包括應用限制、應用註記及複製限制。</w:t>
            </w:r>
            <w:r>
              <w:t xml:space="preserve"> </w:t>
            </w:r>
            <w:r>
              <w:br/>
            </w:r>
            <w:r>
              <w:t>（五）相關編號項：包括檔號之年度號、分類號、案次號及其他編號。</w:t>
            </w:r>
            <w:r>
              <w:t xml:space="preserve"> </w:t>
            </w:r>
            <w:r>
              <w:br/>
            </w:r>
            <w:r>
              <w:t>（六）日期項：案卷內文件起迄日期。</w:t>
            </w:r>
            <w:r>
              <w:br/>
            </w:r>
            <w:r>
              <w:t>（七）媒體型式項：包括紙本、底片、微縮片、幻燈片、照片、硬式磁碟、磁片、磁帶、光碟、錄音帶或錄影帶等檔案之媒體型式。</w:t>
            </w:r>
            <w:r>
              <w:br/>
            </w:r>
            <w:r>
              <w:t>（八）檔案外觀項：包括檔案之數量、單位及外觀細節。</w:t>
            </w:r>
            <w:r>
              <w:br/>
            </w:r>
            <w:r>
              <w:lastRenderedPageBreak/>
              <w:t>（九）關聯項：包括案情摘要及可參照之有關案卷。</w:t>
            </w:r>
            <w:r>
              <w:br/>
            </w:r>
            <w:r>
              <w:t>（十）主題項：包括檔案內容涉及之人、事、時、地、物等關鍵詞彙。</w:t>
            </w:r>
            <w:r>
              <w:br/>
            </w:r>
            <w:r>
              <w:t>（十一）附註項：各著錄項目需補充或解釋之必要事項。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lastRenderedPageBreak/>
              <w:t>八、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案由之著錄文字應依案件主旨或事由為之。如有外文，應譯成中文並列摘錄之。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九、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發（來）文者有數個時，以文件主辦機關（構）、團體或個人為主要發（來）文者，餘為次要發（來）文者著錄之。但次要發（來）文者單位至多以二個為限，超過二個機關（構）者，以第二個次要發（來）文者後加「等」字著錄之。受文者超過三個時，著錄前三個受文者，並於第三個受文者後加「等」字。</w:t>
            </w:r>
            <w:r>
              <w:br/>
            </w:r>
            <w:r>
              <w:t>檔案產生及管有機關（構）、團體或個人之著錄以三個為限。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十、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發（來）文者項及檔案產生者項之著錄，依下列規定為之：</w:t>
            </w:r>
            <w:r>
              <w:br/>
            </w:r>
            <w:r>
              <w:t>（一）著錄機關（構）或團體名稱，應著錄其全稱或通用之簡稱；民國前之機關（構）或團體，應於其名稱前著錄朝代名稱，並加圓括弧；外國機關（構）或團體，應先著錄其國籍之全稱或簡稱，並加圓括弧，再著錄其機關（構）或團體之中文及外文名稱，外文名稱應加圓括弧。</w:t>
            </w:r>
            <w:r>
              <w:t xml:space="preserve"> </w:t>
            </w:r>
            <w:r>
              <w:br/>
            </w:r>
            <w:r>
              <w:t>（二）著錄個人姓名，其後得著錄與該文件產生相關之身分職務，並加圓括弧；有別名或筆名時，應與其真實姓名並列著錄之，並加圓括弧；冠有夫姓之婦女姓名，應照錄之；外國人名，應先著錄其國籍之全稱或簡稱，並加圓括弧，再著錄其姓氏中文譯名及其姓名原文並加圓括弧。</w:t>
            </w:r>
            <w:r>
              <w:t xml:space="preserve"> </w:t>
            </w:r>
            <w:r>
              <w:br/>
            </w:r>
            <w:r>
              <w:t>（三）發（來）文者及受文者不明時，應依文件內容、形式特徵並參考有關資料著錄之，並加方括弧。如為匿名或無從查考者，得以「匿名者」或「佚名」著錄之。</w:t>
            </w:r>
            <w:r>
              <w:t xml:space="preserve"> </w:t>
            </w:r>
            <w:r>
              <w:br/>
            </w:r>
            <w:r>
              <w:t>（四）發（來）文者及受文者錯誤時，應照錄並考證著錄於後；考證部分，應加方括弧。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十一、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收發（來）文字號之著錄，應以原文件之文字或符號為之；數字以阿拉伯數字表示之。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十二、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日期之著錄，應以阿拉伯數字表示，並以文件產生日期為基準，依下列規定照錄之：</w:t>
            </w:r>
            <w:r>
              <w:br/>
            </w:r>
            <w:r>
              <w:t>（一）文件產生之年、月、日應力求著錄齊全；日期不明時，應依文件之內容、形式特徵並參考有關資料著錄之，並加方括弧。</w:t>
            </w:r>
            <w:r>
              <w:t xml:space="preserve"> </w:t>
            </w:r>
            <w:r>
              <w:br/>
            </w:r>
            <w:r>
              <w:t>（二）文件產生日期錯誤時，應照錄並考證著錄於後；考證部分，應加方括弧。</w:t>
            </w:r>
            <w:r>
              <w:t xml:space="preserve"> </w:t>
            </w:r>
            <w:r>
              <w:br/>
            </w:r>
            <w:r>
              <w:t>（三）案卷內文件之起迄日期，應依案卷內最早與最晚文件產生之日期著錄之。</w:t>
            </w:r>
            <w:r>
              <w:br/>
            </w:r>
            <w:r>
              <w:t>前項文件產生日期如下：</w:t>
            </w:r>
            <w:r>
              <w:br/>
            </w:r>
            <w:r>
              <w:t>（一）公私文書及信札為發（來）文或簽署日期。</w:t>
            </w:r>
            <w:r>
              <w:t xml:space="preserve"> </w:t>
            </w:r>
            <w:r>
              <w:br/>
            </w:r>
            <w:r>
              <w:t>（二）決議、決定及命令為核判或發布日期。</w:t>
            </w:r>
            <w:r>
              <w:t xml:space="preserve"> </w:t>
            </w:r>
            <w:r>
              <w:br/>
            </w:r>
            <w:r>
              <w:t>（三）條約及合約為簽署日期。</w:t>
            </w:r>
            <w:r>
              <w:t xml:space="preserve"> </w:t>
            </w:r>
            <w:r>
              <w:br/>
            </w:r>
            <w:r>
              <w:t>（四）報表及計畫為內容所指日期或編製日期。</w:t>
            </w:r>
            <w:r>
              <w:t xml:space="preserve"> </w:t>
            </w:r>
            <w:r>
              <w:br/>
            </w:r>
            <w:r>
              <w:t>（五）工程及產品圖說為設計日期。</w:t>
            </w:r>
            <w:r>
              <w:t> 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十三、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檔案媒體型式之著錄，應依媒體型式之不同據實為之，其數量超過三種者，以著錄三種為限。</w:t>
            </w:r>
          </w:p>
        </w:tc>
      </w:tr>
      <w:tr w:rsidR="00DF43BC">
        <w:trPr>
          <w:tblCellSpacing w:w="7" w:type="dxa"/>
        </w:trPr>
        <w:tc>
          <w:tcPr>
            <w:tcW w:w="500" w:type="pct"/>
          </w:tcPr>
          <w:p w:rsidR="00DF43BC" w:rsidRDefault="00DF43BC">
            <w:pPr>
              <w:jc w:val="right"/>
              <w:rPr>
                <w:rFonts w:ascii="Arial Unicode MS" w:eastAsia="Arial Unicode MS" w:hAnsi="Arial Unicode MS" w:cs="Arial Unicode MS"/>
              </w:rPr>
            </w:pPr>
            <w:r>
              <w:t>十四、</w:t>
            </w:r>
          </w:p>
        </w:tc>
        <w:tc>
          <w:tcPr>
            <w:tcW w:w="500" w:type="pct"/>
          </w:tcPr>
          <w:p w:rsidR="00DF43BC" w:rsidRDefault="00DF43BC">
            <w:pPr>
              <w:rPr>
                <w:rFonts w:ascii="Arial Unicode MS" w:eastAsia="Arial Unicode MS" w:hAnsi="Arial Unicode MS" w:cs="Arial Unicode MS"/>
              </w:rPr>
            </w:pPr>
            <w:r>
              <w:t>附件應著錄其名稱；必要時，得著錄媒體型式、數量及單位。</w:t>
            </w:r>
          </w:p>
        </w:tc>
      </w:tr>
    </w:tbl>
    <w:p w:rsidR="00DF43BC" w:rsidRDefault="00DF43BC">
      <w:pPr>
        <w:rPr>
          <w:rFonts w:hint="eastAsia"/>
        </w:rPr>
      </w:pPr>
    </w:p>
    <w:sectPr w:rsidR="00DF43BC">
      <w:pgSz w:w="11906" w:h="16838"/>
      <w:pgMar w:top="136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A1"/>
    <w:rsid w:val="00181FFA"/>
    <w:rsid w:val="00DF43BC"/>
    <w:rsid w:val="00E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67124-8B86-4F34-A6D2-F31C5948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>檔案管理局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subject/>
  <dc:creator>930348</dc:creator>
  <cp:keywords/>
  <cp:lastModifiedBy>user</cp:lastModifiedBy>
  <cp:revision>2</cp:revision>
  <dcterms:created xsi:type="dcterms:W3CDTF">2019-09-11T02:33:00Z</dcterms:created>
  <dcterms:modified xsi:type="dcterms:W3CDTF">2019-09-11T02:33:00Z</dcterms:modified>
</cp:coreProperties>
</file>